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B1A7" w14:textId="77777777" w:rsidR="00E9007D" w:rsidRDefault="00E9007D" w:rsidP="00E9007D">
      <w:pPr>
        <w:pStyle w:val="Default"/>
        <w:jc w:val="center"/>
        <w:rPr>
          <w:b/>
          <w:bCs/>
          <w:sz w:val="23"/>
          <w:szCs w:val="23"/>
        </w:rPr>
      </w:pPr>
      <w:r>
        <w:rPr>
          <w:b/>
          <w:bCs/>
          <w:sz w:val="23"/>
          <w:szCs w:val="23"/>
        </w:rPr>
        <w:t>Rules for Reject Processing and Billing for All I&amp;RS Services</w:t>
      </w:r>
    </w:p>
    <w:p w14:paraId="3F6A4197" w14:textId="77777777" w:rsidR="00E9007D" w:rsidRDefault="00E9007D" w:rsidP="00E9007D">
      <w:pPr>
        <w:pStyle w:val="Default"/>
        <w:jc w:val="center"/>
        <w:rPr>
          <w:b/>
          <w:bCs/>
          <w:sz w:val="23"/>
          <w:szCs w:val="23"/>
        </w:rPr>
      </w:pPr>
    </w:p>
    <w:p w14:paraId="73801CA4" w14:textId="77777777" w:rsidR="00E9007D" w:rsidRPr="00E52382" w:rsidRDefault="00E9007D" w:rsidP="00E9007D">
      <w:pPr>
        <w:pStyle w:val="Default"/>
        <w:rPr>
          <w:sz w:val="20"/>
          <w:szCs w:val="20"/>
        </w:rPr>
      </w:pPr>
      <w:r w:rsidRPr="00E52382">
        <w:rPr>
          <w:sz w:val="20"/>
          <w:szCs w:val="20"/>
        </w:rPr>
        <w:t xml:space="preserve">IPS will charge submitting participants for and contracts/transactions that are received by DTCC. If a transaction or file is rejected due to validation errors, the information will be sent back to the submitting participant. There is no additional charge to receive the reject file. The transmission recipient will only receive accepted data and will be charged based on transactions received according to the I&amp;RS price schedule. </w:t>
      </w:r>
    </w:p>
    <w:p w14:paraId="14D7A57C" w14:textId="77777777" w:rsidR="00E9007D" w:rsidRPr="00E52382" w:rsidRDefault="00E9007D" w:rsidP="00E9007D">
      <w:pPr>
        <w:pStyle w:val="Default"/>
        <w:rPr>
          <w:sz w:val="20"/>
          <w:szCs w:val="20"/>
        </w:rPr>
      </w:pPr>
    </w:p>
    <w:p w14:paraId="2FF43AB9" w14:textId="77777777" w:rsidR="00E9007D" w:rsidRPr="00E52382" w:rsidRDefault="00E9007D" w:rsidP="00E9007D">
      <w:pPr>
        <w:pStyle w:val="Default"/>
        <w:rPr>
          <w:b/>
          <w:bCs/>
          <w:sz w:val="22"/>
          <w:szCs w:val="22"/>
        </w:rPr>
      </w:pPr>
      <w:r w:rsidRPr="00E52382">
        <w:rPr>
          <w:b/>
          <w:bCs/>
          <w:sz w:val="22"/>
          <w:szCs w:val="22"/>
        </w:rPr>
        <w:t>File Level Reject</w:t>
      </w:r>
    </w:p>
    <w:p w14:paraId="040A3805" w14:textId="77777777" w:rsidR="00E9007D" w:rsidRDefault="00E9007D" w:rsidP="00E9007D">
      <w:pPr>
        <w:pStyle w:val="Default"/>
        <w:rPr>
          <w:sz w:val="20"/>
          <w:szCs w:val="20"/>
        </w:rPr>
      </w:pPr>
    </w:p>
    <w:p w14:paraId="386E4356" w14:textId="009C3782" w:rsidR="00E9007D" w:rsidRPr="00E52382" w:rsidRDefault="00E9007D" w:rsidP="00E9007D">
      <w:pPr>
        <w:pStyle w:val="Default"/>
        <w:rPr>
          <w:sz w:val="20"/>
          <w:szCs w:val="20"/>
        </w:rPr>
      </w:pPr>
      <w:r w:rsidRPr="00E52382">
        <w:rPr>
          <w:sz w:val="20"/>
          <w:szCs w:val="20"/>
        </w:rPr>
        <w:t xml:space="preserve">IPS has determined several types of file level rejects. They include but are not limited to: </w:t>
      </w:r>
    </w:p>
    <w:p w14:paraId="791A0E75" w14:textId="77777777" w:rsidR="00E9007D" w:rsidRPr="00E52382" w:rsidRDefault="00E9007D" w:rsidP="00E9007D">
      <w:pPr>
        <w:pStyle w:val="Default"/>
        <w:rPr>
          <w:sz w:val="20"/>
          <w:szCs w:val="20"/>
        </w:rPr>
      </w:pPr>
      <w:r w:rsidRPr="00E52382">
        <w:rPr>
          <w:rFonts w:ascii="Wingdings" w:hAnsi="Wingdings" w:cs="Wingdings"/>
          <w:sz w:val="20"/>
          <w:szCs w:val="20"/>
        </w:rPr>
        <w:t xml:space="preserve"> </w:t>
      </w:r>
      <w:r w:rsidRPr="00E52382">
        <w:rPr>
          <w:sz w:val="20"/>
          <w:szCs w:val="20"/>
        </w:rPr>
        <w:t xml:space="preserve">Submitter participant number </w:t>
      </w:r>
    </w:p>
    <w:p w14:paraId="77A9A4FF" w14:textId="77777777" w:rsidR="00E9007D" w:rsidRPr="00E52382" w:rsidRDefault="00E9007D" w:rsidP="00E9007D">
      <w:pPr>
        <w:pStyle w:val="Default"/>
        <w:rPr>
          <w:sz w:val="20"/>
          <w:szCs w:val="20"/>
        </w:rPr>
      </w:pPr>
      <w:r w:rsidRPr="00E52382">
        <w:rPr>
          <w:rFonts w:ascii="Wingdings" w:hAnsi="Wingdings" w:cs="Wingdings"/>
          <w:sz w:val="20"/>
          <w:szCs w:val="20"/>
        </w:rPr>
        <w:t xml:space="preserve"> </w:t>
      </w:r>
      <w:r w:rsidRPr="00E52382">
        <w:rPr>
          <w:sz w:val="20"/>
          <w:szCs w:val="20"/>
        </w:rPr>
        <w:t xml:space="preserve">Record count </w:t>
      </w:r>
    </w:p>
    <w:p w14:paraId="422BCCA3" w14:textId="77777777" w:rsidR="00E9007D" w:rsidRPr="00E52382" w:rsidRDefault="00E9007D" w:rsidP="00E9007D">
      <w:pPr>
        <w:pStyle w:val="Default"/>
        <w:rPr>
          <w:sz w:val="20"/>
          <w:szCs w:val="20"/>
        </w:rPr>
      </w:pPr>
      <w:r w:rsidRPr="00E52382">
        <w:rPr>
          <w:rFonts w:ascii="Wingdings" w:hAnsi="Wingdings" w:cs="Wingdings"/>
          <w:sz w:val="20"/>
          <w:szCs w:val="20"/>
        </w:rPr>
        <w:t xml:space="preserve"> </w:t>
      </w:r>
      <w:r w:rsidRPr="00E52382">
        <w:rPr>
          <w:sz w:val="20"/>
          <w:szCs w:val="20"/>
        </w:rPr>
        <w:t xml:space="preserve">Trans Unique ID </w:t>
      </w:r>
    </w:p>
    <w:p w14:paraId="255668C0" w14:textId="77777777" w:rsidR="00E9007D" w:rsidRPr="00E52382" w:rsidRDefault="00E9007D" w:rsidP="00E9007D">
      <w:pPr>
        <w:pStyle w:val="Default"/>
        <w:rPr>
          <w:sz w:val="20"/>
          <w:szCs w:val="20"/>
        </w:rPr>
      </w:pPr>
      <w:r w:rsidRPr="00E52382">
        <w:rPr>
          <w:rFonts w:ascii="Wingdings" w:hAnsi="Wingdings" w:cs="Wingdings"/>
          <w:sz w:val="20"/>
          <w:szCs w:val="20"/>
        </w:rPr>
        <w:t xml:space="preserve"> </w:t>
      </w:r>
      <w:r w:rsidRPr="00E52382">
        <w:rPr>
          <w:sz w:val="20"/>
          <w:szCs w:val="20"/>
        </w:rPr>
        <w:t xml:space="preserve">Business Code </w:t>
      </w:r>
    </w:p>
    <w:p w14:paraId="7EFD57ED" w14:textId="77777777" w:rsidR="00E9007D" w:rsidRPr="00E52382" w:rsidRDefault="00E9007D" w:rsidP="00E9007D">
      <w:pPr>
        <w:pStyle w:val="Default"/>
        <w:rPr>
          <w:sz w:val="20"/>
          <w:szCs w:val="20"/>
        </w:rPr>
      </w:pPr>
    </w:p>
    <w:p w14:paraId="5823188E" w14:textId="77777777" w:rsidR="00E9007D" w:rsidRPr="00E52382" w:rsidRDefault="00E9007D" w:rsidP="00E9007D">
      <w:pPr>
        <w:pStyle w:val="Default"/>
        <w:rPr>
          <w:sz w:val="20"/>
          <w:szCs w:val="20"/>
        </w:rPr>
      </w:pPr>
      <w:r w:rsidRPr="00E52382">
        <w:rPr>
          <w:sz w:val="20"/>
          <w:szCs w:val="20"/>
        </w:rPr>
        <w:t>If any of these fields, or any other fields contained on the Submitting header are invalid, a participant will be charged for each transaction (or ’01 record) in the file. A file is defined as all data, starting with and including the submitting header.</w:t>
      </w:r>
    </w:p>
    <w:p w14:paraId="5571EA5C" w14:textId="77777777" w:rsidR="00E9007D" w:rsidRPr="00E52382" w:rsidRDefault="00E9007D" w:rsidP="00E9007D">
      <w:pPr>
        <w:pStyle w:val="Default"/>
        <w:rPr>
          <w:sz w:val="20"/>
          <w:szCs w:val="20"/>
        </w:rPr>
      </w:pPr>
      <w:r w:rsidRPr="00E52382">
        <w:rPr>
          <w:sz w:val="20"/>
          <w:szCs w:val="20"/>
        </w:rPr>
        <w:t xml:space="preserve"> </w:t>
      </w:r>
    </w:p>
    <w:p w14:paraId="0E389F0C" w14:textId="77777777" w:rsidR="00E9007D" w:rsidRPr="00E52382" w:rsidRDefault="00E9007D" w:rsidP="00E9007D">
      <w:pPr>
        <w:pStyle w:val="Default"/>
        <w:rPr>
          <w:sz w:val="20"/>
          <w:szCs w:val="20"/>
        </w:rPr>
      </w:pPr>
      <w:r w:rsidRPr="00E52382">
        <w:rPr>
          <w:sz w:val="20"/>
          <w:szCs w:val="20"/>
        </w:rPr>
        <w:t xml:space="preserve">The transaction charge will be assessed at the highest charge for the file type. For example: within Premium, all contracts are charged at the APP price – not the SUB price. For Licensing and Appointments, all transactions are charged at the LNA charge, not the Periodic Reconciliation (PR) charge. </w:t>
      </w:r>
    </w:p>
    <w:p w14:paraId="2D3A37BF" w14:textId="77777777" w:rsidR="00E9007D" w:rsidRPr="00E52382" w:rsidRDefault="00E9007D" w:rsidP="00E9007D">
      <w:pPr>
        <w:pStyle w:val="Default"/>
        <w:rPr>
          <w:sz w:val="20"/>
          <w:szCs w:val="20"/>
        </w:rPr>
      </w:pPr>
    </w:p>
    <w:p w14:paraId="2D79708E" w14:textId="77777777" w:rsidR="00E9007D" w:rsidRPr="00E52382" w:rsidRDefault="00E9007D" w:rsidP="00E9007D">
      <w:pPr>
        <w:pStyle w:val="Default"/>
        <w:rPr>
          <w:b/>
          <w:bCs/>
          <w:sz w:val="22"/>
          <w:szCs w:val="22"/>
        </w:rPr>
      </w:pPr>
      <w:r w:rsidRPr="00E52382">
        <w:rPr>
          <w:b/>
          <w:bCs/>
          <w:sz w:val="22"/>
          <w:szCs w:val="22"/>
        </w:rPr>
        <w:t xml:space="preserve">Contra Level Reject </w:t>
      </w:r>
    </w:p>
    <w:p w14:paraId="26DFCD15" w14:textId="77777777" w:rsidR="00E9007D" w:rsidRPr="00E52382" w:rsidRDefault="00E9007D" w:rsidP="00E9007D">
      <w:pPr>
        <w:pStyle w:val="Default"/>
        <w:rPr>
          <w:sz w:val="20"/>
          <w:szCs w:val="20"/>
        </w:rPr>
      </w:pPr>
    </w:p>
    <w:p w14:paraId="72CB5BC5" w14:textId="77777777" w:rsidR="00E9007D" w:rsidRPr="00E52382" w:rsidRDefault="00E9007D" w:rsidP="00E9007D">
      <w:pPr>
        <w:pStyle w:val="Default"/>
        <w:rPr>
          <w:sz w:val="20"/>
          <w:szCs w:val="20"/>
        </w:rPr>
      </w:pPr>
      <w:r w:rsidRPr="00E52382">
        <w:rPr>
          <w:sz w:val="20"/>
          <w:szCs w:val="20"/>
        </w:rPr>
        <w:t xml:space="preserve">IPS has determined several types of contra level rejects. They include but are not limited to: </w:t>
      </w:r>
    </w:p>
    <w:p w14:paraId="7E8C76CB" w14:textId="77777777" w:rsidR="00E9007D" w:rsidRPr="00E52382" w:rsidRDefault="00E9007D" w:rsidP="00E9007D">
      <w:pPr>
        <w:pStyle w:val="Default"/>
        <w:rPr>
          <w:sz w:val="20"/>
          <w:szCs w:val="20"/>
        </w:rPr>
      </w:pPr>
      <w:r w:rsidRPr="00E52382">
        <w:rPr>
          <w:rFonts w:ascii="Wingdings" w:hAnsi="Wingdings" w:cs="Wingdings"/>
          <w:sz w:val="20"/>
          <w:szCs w:val="20"/>
        </w:rPr>
        <w:t xml:space="preserve"> </w:t>
      </w:r>
      <w:r w:rsidRPr="00E52382">
        <w:rPr>
          <w:sz w:val="20"/>
          <w:szCs w:val="20"/>
        </w:rPr>
        <w:t xml:space="preserve">Contra participant number </w:t>
      </w:r>
    </w:p>
    <w:p w14:paraId="6DB64F0B" w14:textId="77777777" w:rsidR="00E9007D" w:rsidRPr="00E52382" w:rsidRDefault="00E9007D" w:rsidP="00E9007D">
      <w:pPr>
        <w:pStyle w:val="Default"/>
        <w:rPr>
          <w:sz w:val="20"/>
          <w:szCs w:val="20"/>
        </w:rPr>
      </w:pPr>
      <w:r w:rsidRPr="00E52382">
        <w:rPr>
          <w:rFonts w:ascii="Wingdings" w:hAnsi="Wingdings" w:cs="Wingdings"/>
          <w:sz w:val="20"/>
          <w:szCs w:val="20"/>
        </w:rPr>
        <w:t xml:space="preserve"> </w:t>
      </w:r>
      <w:r w:rsidRPr="00E52382">
        <w:rPr>
          <w:sz w:val="20"/>
          <w:szCs w:val="20"/>
        </w:rPr>
        <w:t xml:space="preserve">Contract (or Transaction) count </w:t>
      </w:r>
    </w:p>
    <w:p w14:paraId="0603383C" w14:textId="77777777" w:rsidR="00E9007D" w:rsidRPr="00E52382" w:rsidRDefault="00E9007D" w:rsidP="00E9007D">
      <w:pPr>
        <w:pStyle w:val="Default"/>
        <w:rPr>
          <w:sz w:val="20"/>
          <w:szCs w:val="20"/>
        </w:rPr>
      </w:pPr>
    </w:p>
    <w:p w14:paraId="4491042D" w14:textId="77777777" w:rsidR="00E9007D" w:rsidRPr="00E52382" w:rsidRDefault="00E9007D" w:rsidP="00E9007D">
      <w:pPr>
        <w:pStyle w:val="Default"/>
        <w:rPr>
          <w:sz w:val="20"/>
          <w:szCs w:val="20"/>
        </w:rPr>
      </w:pPr>
      <w:r w:rsidRPr="00E52382">
        <w:rPr>
          <w:sz w:val="20"/>
          <w:szCs w:val="20"/>
        </w:rPr>
        <w:t xml:space="preserve">If any of these fields, or any other fields contained on the Contra header are invalid, a participant will be charged for each transaction (or ’01 record) in the contra file. A contra file is defined as all data including the contra header in error and ending at the record before the next contra header, or next submitting header, or end of the file. </w:t>
      </w:r>
    </w:p>
    <w:p w14:paraId="0A5A1CE6" w14:textId="77777777" w:rsidR="00E9007D" w:rsidRPr="00E52382" w:rsidRDefault="00E9007D" w:rsidP="00E9007D">
      <w:pPr>
        <w:pStyle w:val="Default"/>
        <w:rPr>
          <w:sz w:val="20"/>
          <w:szCs w:val="20"/>
        </w:rPr>
      </w:pPr>
    </w:p>
    <w:p w14:paraId="3E136245" w14:textId="77777777" w:rsidR="00E9007D" w:rsidRPr="00E52382" w:rsidRDefault="00E9007D" w:rsidP="00E9007D">
      <w:pPr>
        <w:pStyle w:val="Default"/>
        <w:rPr>
          <w:sz w:val="20"/>
          <w:szCs w:val="20"/>
        </w:rPr>
      </w:pPr>
      <w:r w:rsidRPr="00E52382">
        <w:rPr>
          <w:sz w:val="20"/>
          <w:szCs w:val="20"/>
        </w:rPr>
        <w:t>The transaction charge will be assessed at the highest charge for the file type. For example: within Premium, all contracts are charged at the APP price – not the SUB price. For Licensing and Appointments, all transactions are charged at the L&amp;A charge, not the Periodic Reconciliation (PR) charge.</w:t>
      </w:r>
    </w:p>
    <w:p w14:paraId="08ADCC2F" w14:textId="77777777" w:rsidR="00E9007D" w:rsidRPr="00E52382" w:rsidRDefault="00E9007D" w:rsidP="00E9007D">
      <w:pPr>
        <w:pStyle w:val="Default"/>
        <w:rPr>
          <w:sz w:val="20"/>
          <w:szCs w:val="20"/>
        </w:rPr>
      </w:pPr>
      <w:r w:rsidRPr="00E52382">
        <w:rPr>
          <w:sz w:val="20"/>
          <w:szCs w:val="20"/>
        </w:rPr>
        <w:t xml:space="preserve"> </w:t>
      </w:r>
    </w:p>
    <w:p w14:paraId="0E7ED5C2" w14:textId="77777777" w:rsidR="00E9007D" w:rsidRPr="00E52382" w:rsidRDefault="00E9007D" w:rsidP="00E9007D">
      <w:pPr>
        <w:pStyle w:val="Default"/>
        <w:rPr>
          <w:b/>
          <w:bCs/>
          <w:sz w:val="22"/>
          <w:szCs w:val="22"/>
        </w:rPr>
      </w:pPr>
      <w:r w:rsidRPr="00E52382">
        <w:rPr>
          <w:b/>
          <w:bCs/>
          <w:sz w:val="22"/>
          <w:szCs w:val="22"/>
        </w:rPr>
        <w:t xml:space="preserve">Record Level Rejects </w:t>
      </w:r>
    </w:p>
    <w:p w14:paraId="32DB2D2C" w14:textId="77777777" w:rsidR="00E9007D" w:rsidRPr="00E52382" w:rsidRDefault="00E9007D" w:rsidP="00E9007D">
      <w:pPr>
        <w:pStyle w:val="Default"/>
        <w:rPr>
          <w:sz w:val="20"/>
          <w:szCs w:val="20"/>
        </w:rPr>
      </w:pPr>
    </w:p>
    <w:p w14:paraId="1D60C595" w14:textId="77777777" w:rsidR="00E9007D" w:rsidRPr="00E52382" w:rsidRDefault="00E9007D" w:rsidP="00E9007D">
      <w:pPr>
        <w:pStyle w:val="Default"/>
        <w:rPr>
          <w:sz w:val="20"/>
          <w:szCs w:val="20"/>
        </w:rPr>
      </w:pPr>
      <w:r w:rsidRPr="00E52382">
        <w:rPr>
          <w:sz w:val="20"/>
          <w:szCs w:val="20"/>
        </w:rPr>
        <w:t xml:space="preserve">IPS has defined many types of record level rejects. Each product will define the reject types within the record layout and specifications. If any of these fields do not meet the validation requirements and are rejected, the entire file does not reject. Only the transaction in error is rejected. In this case, the standard submission transaction charge will be applied. On the License and Appointment file, the Transaction Type on the Producer Entity Record must be valid otherwise the contract charge will be at the L&amp;A price, not the PR price. </w:t>
      </w:r>
    </w:p>
    <w:p w14:paraId="27BD9F32" w14:textId="21C45667" w:rsidR="00E9007D" w:rsidRPr="00E52382" w:rsidRDefault="00E9007D" w:rsidP="00E9007D">
      <w:pPr>
        <w:jc w:val="right"/>
        <w:rPr>
          <w:szCs w:val="20"/>
        </w:rPr>
      </w:pPr>
      <w:r w:rsidRPr="00E52382">
        <w:rPr>
          <w:rFonts w:ascii="Times New Roman" w:hAnsi="Times New Roman" w:cs="Times New Roman"/>
          <w:color w:val="FF0000"/>
          <w:szCs w:val="20"/>
        </w:rPr>
        <w:t>Last Updated: June 2023</w:t>
      </w:r>
      <w:r>
        <w:rPr>
          <w:rFonts w:ascii="Times New Roman" w:hAnsi="Times New Roman" w:cs="Times New Roman"/>
          <w:color w:val="FF0000"/>
          <w:szCs w:val="20"/>
        </w:rPr>
        <w:t xml:space="preserve"> </w:t>
      </w:r>
      <w:r w:rsidRPr="00E52382">
        <w:rPr>
          <w:rFonts w:ascii="Times New Roman" w:hAnsi="Times New Roman" w:cs="Times New Roman"/>
          <w:color w:val="FF0000"/>
          <w:szCs w:val="20"/>
        </w:rPr>
        <w:t>Last Review Date: June 2023</w:t>
      </w:r>
    </w:p>
    <w:sectPr w:rsidR="00E9007D" w:rsidRPr="00E52382" w:rsidSect="00FD7B61">
      <w:headerReference w:type="default" r:id="rId10"/>
      <w:footerReference w:type="default" r:id="rId11"/>
      <w:pgSz w:w="12240" w:h="15840"/>
      <w:pgMar w:top="2246" w:right="1440" w:bottom="720" w:left="1440" w:header="9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1507" w14:textId="77777777" w:rsidR="00E9007D" w:rsidRDefault="00E9007D" w:rsidP="00FD7B61">
      <w:r>
        <w:separator/>
      </w:r>
    </w:p>
  </w:endnote>
  <w:endnote w:type="continuationSeparator" w:id="0">
    <w:p w14:paraId="30882AE9" w14:textId="77777777" w:rsidR="00E9007D" w:rsidRDefault="00E9007D" w:rsidP="00FD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37FE" w14:textId="77777777" w:rsidR="00FD7B61" w:rsidRDefault="00DD4372" w:rsidP="00FD7B61">
    <w:pPr>
      <w:tabs>
        <w:tab w:val="center" w:pos="4320"/>
        <w:tab w:val="right" w:pos="9360"/>
      </w:tabs>
      <w:rPr>
        <w:rFonts w:cs="Arial"/>
        <w:noProof/>
        <w:color w:val="003956"/>
        <w:sz w:val="18"/>
        <w:szCs w:val="18"/>
      </w:rPr>
    </w:pPr>
    <w:r>
      <w:rPr>
        <w:rFonts w:asciiTheme="majorHAnsi" w:hAnsiTheme="majorHAnsi"/>
        <w:noProof/>
        <w:color w:val="003956" w:themeColor="text2"/>
      </w:rPr>
      <mc:AlternateContent>
        <mc:Choice Requires="wps">
          <w:drawing>
            <wp:anchor distT="0" distB="0" distL="114300" distR="114300" simplePos="0" relativeHeight="251660288" behindDoc="0" locked="0" layoutInCell="0" allowOverlap="1" wp14:anchorId="194E926B" wp14:editId="7653D69A">
              <wp:simplePos x="0" y="0"/>
              <wp:positionH relativeFrom="page">
                <wp:posOffset>0</wp:posOffset>
              </wp:positionH>
              <wp:positionV relativeFrom="page">
                <wp:posOffset>9615170</wp:posOffset>
              </wp:positionV>
              <wp:extent cx="7772400" cy="252095"/>
              <wp:effectExtent l="0" t="0" r="0" b="14605"/>
              <wp:wrapNone/>
              <wp:docPr id="1" name="MSIPCM4571440885137da010e36b9a" descr="{&quot;HashCode&quot;:-10109136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5CD9F2" w14:textId="77777777" w:rsidR="00DD4372" w:rsidRPr="00DD4372" w:rsidRDefault="00DD4372" w:rsidP="00E9007D">
                          <w:pPr>
                            <w:spacing w:after="0"/>
                            <w:rPr>
                              <w:rFonts w:cs="Arial"/>
                              <w:color w:val="737373"/>
                            </w:rPr>
                          </w:pPr>
                          <w:r w:rsidRPr="00DD4372">
                            <w:rPr>
                              <w:rFonts w:cs="Arial"/>
                              <w:color w:val="737373"/>
                            </w:rPr>
                            <w:t>DTCC Internal (Green)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194E926B" id="_x0000_t202" coordsize="21600,21600" o:spt="202" path="m,l,21600r21600,l21600,xe">
              <v:stroke joinstyle="miter"/>
              <v:path gradientshapeok="t" o:connecttype="rect"/>
            </v:shapetype>
            <v:shape id="MSIPCM4571440885137da010e36b9a" o:spid="_x0000_s1026" type="#_x0000_t202" alt="{&quot;HashCode&quot;:-101091367,&quot;Height&quot;:792.0,&quot;Width&quot;:612.0,&quot;Placement&quot;:&quot;Footer&quot;,&quot;Index&quot;:&quot;Primary&quot;,&quot;Section&quot;:1,&quot;Top&quot;:0.0,&quot;Left&quot;:0.0}" style="position:absolute;margin-left:0;margin-top:757.1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" o:allowincell="f" filled="f" stroked="f" strokeweight=".5pt">
              <v:textbox inset="20pt,0,,0">
                <w:txbxContent>
                  <w:p w14:paraId="095CD9F2" w14:textId="77777777" w:rsidR="00DD4372" w:rsidRPr="00DD4372" w:rsidRDefault="00DD4372" w:rsidP="00E9007D">
                    <w:pPr>
                      <w:spacing w:after="0"/>
                      <w:rPr>
                        <w:rFonts w:cs="Arial"/>
                        <w:color w:val="737373"/>
                      </w:rPr>
                    </w:pPr>
                    <w:r w:rsidRPr="00DD4372">
                      <w:rPr>
                        <w:rFonts w:cs="Arial"/>
                        <w:color w:val="737373"/>
                      </w:rPr>
                      <w:t>DTCC Internal (Green)</w:t>
                    </w:r>
                  </w:p>
                </w:txbxContent>
              </v:textbox>
              <w10:wrap anchorx="page" anchory="page"/>
            </v:shape>
          </w:pict>
        </mc:Fallback>
      </mc:AlternateContent>
    </w:r>
    <w:r w:rsidR="00FD7B61">
      <w:rPr>
        <w:rFonts w:asciiTheme="majorHAnsi" w:hAnsiTheme="majorHAnsi"/>
        <w:color w:val="003956" w:themeColor="text2"/>
      </w:rPr>
      <w:tab/>
    </w:r>
    <w:r w:rsidR="00FD7B61" w:rsidRPr="00316D89">
      <w:rPr>
        <w:rFonts w:asciiTheme="majorHAnsi" w:hAnsiTheme="majorHAnsi"/>
        <w:color w:val="003956" w:themeColor="text2"/>
      </w:rPr>
      <w:t>ADVANCING FINANCIAL MARKETS. TOGETHER.</w:t>
    </w:r>
    <w:r w:rsidR="00FD7B61" w:rsidRPr="00316D89">
      <w:rPr>
        <w:rFonts w:asciiTheme="majorHAnsi" w:hAnsiTheme="majorHAnsi"/>
        <w:color w:val="003956" w:themeColor="text2"/>
        <w:vertAlign w:val="superscript"/>
      </w:rPr>
      <w:t>TM</w:t>
    </w:r>
    <w:r w:rsidR="00FD7B61" w:rsidRPr="00BF0207">
      <w:rPr>
        <w:rFonts w:cs="Arial"/>
        <w:color w:val="003956"/>
        <w:sz w:val="18"/>
        <w:szCs w:val="18"/>
      </w:rPr>
      <w:t xml:space="preserve"> </w:t>
    </w:r>
    <w:r w:rsidR="00FD7B61">
      <w:rPr>
        <w:rFonts w:cs="Arial"/>
        <w:color w:val="003956"/>
        <w:sz w:val="18"/>
        <w:szCs w:val="18"/>
      </w:rPr>
      <w:tab/>
    </w:r>
    <w:r w:rsidR="00FD7B61" w:rsidRPr="00BF0207">
      <w:rPr>
        <w:rFonts w:cs="Arial"/>
        <w:color w:val="003956"/>
        <w:sz w:val="18"/>
        <w:szCs w:val="18"/>
      </w:rPr>
      <w:t xml:space="preserve">Page </w:t>
    </w:r>
    <w:r w:rsidR="00FD7B61" w:rsidRPr="00BF0207">
      <w:rPr>
        <w:rFonts w:cs="Arial"/>
        <w:color w:val="003956"/>
        <w:sz w:val="18"/>
        <w:szCs w:val="18"/>
      </w:rPr>
      <w:fldChar w:fldCharType="begin"/>
    </w:r>
    <w:r w:rsidR="00FD7B61" w:rsidRPr="00BF0207">
      <w:rPr>
        <w:rFonts w:cs="Arial"/>
        <w:color w:val="003956"/>
        <w:sz w:val="18"/>
        <w:szCs w:val="18"/>
      </w:rPr>
      <w:instrText xml:space="preserve"> PAGE   \* MERGEFORMAT </w:instrText>
    </w:r>
    <w:r w:rsidR="00FD7B61" w:rsidRPr="00BF0207">
      <w:rPr>
        <w:rFonts w:cs="Arial"/>
        <w:color w:val="003956"/>
        <w:sz w:val="18"/>
        <w:szCs w:val="18"/>
      </w:rPr>
      <w:fldChar w:fldCharType="separate"/>
    </w:r>
    <w:r w:rsidR="00FD7B61">
      <w:rPr>
        <w:rFonts w:cs="Arial"/>
        <w:color w:val="003956"/>
        <w:sz w:val="18"/>
        <w:szCs w:val="18"/>
      </w:rPr>
      <w:t>1</w:t>
    </w:r>
    <w:r w:rsidR="00FD7B61" w:rsidRPr="00BF0207">
      <w:rPr>
        <w:rFonts w:cs="Arial"/>
        <w:noProof/>
        <w:color w:val="003956"/>
        <w:sz w:val="18"/>
        <w:szCs w:val="18"/>
      </w:rPr>
      <w:fldChar w:fldCharType="end"/>
    </w:r>
  </w:p>
  <w:p w14:paraId="10920BEE" w14:textId="77777777" w:rsidR="00FD7B61" w:rsidRPr="00FD7B61" w:rsidRDefault="00FD7B61" w:rsidP="00FD7B61">
    <w:pPr>
      <w:tabs>
        <w:tab w:val="center" w:pos="4320"/>
        <w:tab w:val="right" w:pos="9360"/>
      </w:tabs>
      <w:rPr>
        <w:rFonts w:cs="Arial"/>
        <w:color w:val="0039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CDE8" w14:textId="77777777" w:rsidR="00E9007D" w:rsidRDefault="00E9007D" w:rsidP="00FD7B61">
      <w:r>
        <w:separator/>
      </w:r>
    </w:p>
  </w:footnote>
  <w:footnote w:type="continuationSeparator" w:id="0">
    <w:p w14:paraId="0B5D862F" w14:textId="77777777" w:rsidR="00E9007D" w:rsidRDefault="00E9007D" w:rsidP="00FD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7055" w14:textId="77777777" w:rsidR="00FD7B61" w:rsidRDefault="00FD7B61">
    <w:pPr>
      <w:pStyle w:val="Header"/>
    </w:pPr>
    <w:r>
      <w:rPr>
        <w:noProof/>
      </w:rPr>
      <w:drawing>
        <wp:anchor distT="0" distB="0" distL="114300" distR="114300" simplePos="0" relativeHeight="251659264" behindDoc="1" locked="1" layoutInCell="1" allowOverlap="0" wp14:anchorId="2875660A" wp14:editId="3AD85C02">
          <wp:simplePos x="0" y="0"/>
          <wp:positionH relativeFrom="column">
            <wp:posOffset>-887095</wp:posOffset>
          </wp:positionH>
          <wp:positionV relativeFrom="page">
            <wp:posOffset>27305</wp:posOffset>
          </wp:positionV>
          <wp:extent cx="7653528" cy="128016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e page_Word document.jpg"/>
                  <pic:cNvPicPr/>
                </pic:nvPicPr>
                <pic:blipFill>
                  <a:blip r:embed="rId1">
                    <a:extLst>
                      <a:ext uri="{28A0092B-C50C-407E-A947-70E740481C1C}">
                        <a14:useLocalDpi xmlns:a14="http://schemas.microsoft.com/office/drawing/2010/main" val="0"/>
                      </a:ext>
                    </a:extLst>
                  </a:blip>
                  <a:stretch>
                    <a:fillRect/>
                  </a:stretch>
                </pic:blipFill>
                <pic:spPr>
                  <a:xfrm>
                    <a:off x="0" y="0"/>
                    <a:ext cx="7653528" cy="1280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9E44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68E1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3ABB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7039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02E1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3243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0EBC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3E7B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FACA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2CE1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A7286E"/>
    <w:multiLevelType w:val="multilevel"/>
    <w:tmpl w:val="1A9C546E"/>
    <w:lvl w:ilvl="0">
      <w:start w:val="1"/>
      <w:numFmt w:val="bullet"/>
      <w:pStyle w:val="ListParagraph"/>
      <w:lvlText w:val=""/>
      <w:lvlJc w:val="left"/>
      <w:pPr>
        <w:tabs>
          <w:tab w:val="num" w:pos="720"/>
        </w:tabs>
        <w:ind w:left="1080" w:hanging="720"/>
      </w:pPr>
      <w:rPr>
        <w:rFonts w:ascii="Symbol" w:hAnsi="Symbol" w:hint="default"/>
        <w:b/>
        <w:i w:val="0"/>
        <w:sz w:val="24"/>
      </w:rPr>
    </w:lvl>
    <w:lvl w:ilvl="1">
      <w:start w:val="1"/>
      <w:numFmt w:val="bullet"/>
      <w:lvlText w:val="-"/>
      <w:lvlJc w:val="left"/>
      <w:pPr>
        <w:tabs>
          <w:tab w:val="num" w:pos="1080"/>
        </w:tabs>
        <w:ind w:left="108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7D"/>
    <w:rsid w:val="00091D76"/>
    <w:rsid w:val="000F2566"/>
    <w:rsid w:val="001B1BC9"/>
    <w:rsid w:val="002024A0"/>
    <w:rsid w:val="00327AD7"/>
    <w:rsid w:val="005D06DF"/>
    <w:rsid w:val="005E5354"/>
    <w:rsid w:val="006F0680"/>
    <w:rsid w:val="008226E4"/>
    <w:rsid w:val="009E32F3"/>
    <w:rsid w:val="00A40F01"/>
    <w:rsid w:val="00A80BBF"/>
    <w:rsid w:val="00DD4372"/>
    <w:rsid w:val="00E35EF1"/>
    <w:rsid w:val="00E9007D"/>
    <w:rsid w:val="00FB2C94"/>
    <w:rsid w:val="00FD3E0C"/>
    <w:rsid w:val="00FD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CF84D"/>
  <w15:chartTrackingRefBased/>
  <w15:docId w15:val="{C01C4429-6304-40EC-9F9F-60176B7D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07D"/>
    <w:rPr>
      <w:rFonts w:ascii="Arial" w:hAnsi="Arial"/>
      <w:color w:val="000000" w:themeColor="text1"/>
      <w:sz w:val="20"/>
    </w:rPr>
  </w:style>
  <w:style w:type="paragraph" w:styleId="Heading1">
    <w:name w:val="heading 1"/>
    <w:basedOn w:val="Normal"/>
    <w:next w:val="Normal"/>
    <w:link w:val="Heading1Char"/>
    <w:qFormat/>
    <w:rsid w:val="00FD7B61"/>
    <w:pPr>
      <w:keepNext/>
      <w:keepLines/>
      <w:spacing w:after="120" w:line="240" w:lineRule="auto"/>
      <w:outlineLvl w:val="0"/>
    </w:pPr>
    <w:rPr>
      <w:rFonts w:eastAsiaTheme="majorEastAsia" w:cstheme="majorBidi"/>
      <w:b/>
      <w:bCs/>
      <w:caps/>
      <w:sz w:val="22"/>
      <w:szCs w:val="28"/>
    </w:rPr>
  </w:style>
  <w:style w:type="paragraph" w:styleId="Heading2">
    <w:name w:val="heading 2"/>
    <w:basedOn w:val="Normal"/>
    <w:next w:val="Normal"/>
    <w:link w:val="Heading2Char"/>
    <w:uiPriority w:val="9"/>
    <w:unhideWhenUsed/>
    <w:qFormat/>
    <w:rsid w:val="001B1BC9"/>
    <w:pPr>
      <w:keepNext/>
      <w:spacing w:before="240" w:after="60" w:line="240" w:lineRule="auto"/>
      <w:outlineLvl w:val="1"/>
    </w:pPr>
    <w:rPr>
      <w:rFonts w:eastAsiaTheme="majorEastAsia" w:cstheme="majorBidi"/>
      <w:b/>
      <w:bCs/>
      <w:color w:val="0096D6" w:themeColor="background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7B61"/>
    <w:rPr>
      <w:rFonts w:ascii="Arial" w:eastAsiaTheme="majorEastAsia" w:hAnsi="Arial" w:cstheme="majorBidi"/>
      <w:b/>
      <w:bCs/>
      <w:caps/>
      <w:color w:val="000000" w:themeColor="text1"/>
      <w:szCs w:val="28"/>
    </w:rPr>
  </w:style>
  <w:style w:type="character" w:customStyle="1" w:styleId="Heading2Char">
    <w:name w:val="Heading 2 Char"/>
    <w:basedOn w:val="DefaultParagraphFont"/>
    <w:link w:val="Heading2"/>
    <w:uiPriority w:val="9"/>
    <w:rsid w:val="001B1BC9"/>
    <w:rPr>
      <w:rFonts w:ascii="Arial" w:eastAsiaTheme="majorEastAsia" w:hAnsi="Arial" w:cstheme="majorBidi"/>
      <w:b/>
      <w:bCs/>
      <w:color w:val="0096D6" w:themeColor="background2"/>
      <w:sz w:val="20"/>
      <w:szCs w:val="26"/>
    </w:rPr>
  </w:style>
  <w:style w:type="paragraph" w:styleId="Title">
    <w:name w:val="Title"/>
    <w:basedOn w:val="Normal"/>
    <w:next w:val="Normal"/>
    <w:link w:val="TitleChar"/>
    <w:uiPriority w:val="10"/>
    <w:qFormat/>
    <w:rsid w:val="00327AD7"/>
    <w:pPr>
      <w:pBdr>
        <w:bottom w:val="single" w:sz="8" w:space="4" w:color="00B0AD" w:themeColor="accent1"/>
      </w:pBdr>
      <w:spacing w:after="300" w:line="240" w:lineRule="auto"/>
      <w:contextualSpacing/>
    </w:pPr>
    <w:rPr>
      <w:rFonts w:ascii="Arial Narrow" w:eastAsiaTheme="majorEastAsia" w:hAnsi="Arial Narrow" w:cstheme="majorBidi"/>
      <w:spacing w:val="5"/>
      <w:kern w:val="28"/>
      <w:sz w:val="24"/>
      <w:szCs w:val="52"/>
    </w:rPr>
  </w:style>
  <w:style w:type="character" w:customStyle="1" w:styleId="TitleChar">
    <w:name w:val="Title Char"/>
    <w:basedOn w:val="DefaultParagraphFont"/>
    <w:link w:val="Title"/>
    <w:uiPriority w:val="10"/>
    <w:rsid w:val="00327AD7"/>
    <w:rPr>
      <w:rFonts w:ascii="Arial Narrow" w:eastAsiaTheme="majorEastAsia" w:hAnsi="Arial Narrow" w:cstheme="majorBidi"/>
      <w:spacing w:val="5"/>
      <w:kern w:val="28"/>
      <w:sz w:val="24"/>
      <w:szCs w:val="52"/>
    </w:rPr>
  </w:style>
  <w:style w:type="paragraph" w:styleId="Subtitle">
    <w:name w:val="Subtitle"/>
    <w:basedOn w:val="Normal"/>
    <w:next w:val="Normal"/>
    <w:link w:val="SubtitleChar"/>
    <w:uiPriority w:val="11"/>
    <w:qFormat/>
    <w:rsid w:val="00327AD7"/>
    <w:pPr>
      <w:numPr>
        <w:ilvl w:val="1"/>
      </w:numPr>
      <w:spacing w:after="0" w:line="240" w:lineRule="auto"/>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327AD7"/>
    <w:rPr>
      <w:rFonts w:asciiTheme="majorHAnsi" w:eastAsiaTheme="majorEastAsia" w:hAnsiTheme="majorHAnsi" w:cstheme="majorBidi"/>
      <w:i/>
      <w:iCs/>
      <w:spacing w:val="15"/>
      <w:sz w:val="24"/>
      <w:szCs w:val="24"/>
    </w:rPr>
  </w:style>
  <w:style w:type="character" w:styleId="IntenseEmphasis">
    <w:name w:val="Intense Emphasis"/>
    <w:basedOn w:val="DefaultParagraphFont"/>
    <w:uiPriority w:val="21"/>
    <w:qFormat/>
    <w:rsid w:val="006F0680"/>
    <w:rPr>
      <w:b/>
      <w:bCs/>
      <w:i/>
      <w:iCs/>
      <w:color w:val="000000" w:themeColor="text1"/>
    </w:rPr>
  </w:style>
  <w:style w:type="character" w:styleId="SubtleEmphasis">
    <w:name w:val="Subtle Emphasis"/>
    <w:basedOn w:val="DefaultParagraphFont"/>
    <w:uiPriority w:val="19"/>
    <w:qFormat/>
    <w:rsid w:val="006F0680"/>
    <w:rPr>
      <w:i/>
      <w:iCs/>
      <w:color w:val="000000" w:themeColor="text1"/>
    </w:rPr>
  </w:style>
  <w:style w:type="paragraph" w:styleId="Quote">
    <w:name w:val="Quote"/>
    <w:basedOn w:val="Normal"/>
    <w:next w:val="Normal"/>
    <w:link w:val="QuoteChar"/>
    <w:uiPriority w:val="29"/>
    <w:qFormat/>
    <w:rsid w:val="00327AD7"/>
    <w:pPr>
      <w:spacing w:after="0" w:line="240" w:lineRule="auto"/>
    </w:pPr>
    <w:rPr>
      <w:i/>
      <w:iCs/>
    </w:rPr>
  </w:style>
  <w:style w:type="character" w:customStyle="1" w:styleId="QuoteChar">
    <w:name w:val="Quote Char"/>
    <w:basedOn w:val="DefaultParagraphFont"/>
    <w:link w:val="Quote"/>
    <w:uiPriority w:val="29"/>
    <w:rsid w:val="00327AD7"/>
    <w:rPr>
      <w:rFonts w:ascii="Arial" w:hAnsi="Arial"/>
      <w:i/>
      <w:iCs/>
      <w:sz w:val="20"/>
    </w:rPr>
  </w:style>
  <w:style w:type="paragraph" w:styleId="IntenseQuote">
    <w:name w:val="Intense Quote"/>
    <w:basedOn w:val="Normal"/>
    <w:next w:val="Normal"/>
    <w:link w:val="IntenseQuoteChar"/>
    <w:uiPriority w:val="30"/>
    <w:qFormat/>
    <w:rsid w:val="00327AD7"/>
    <w:pPr>
      <w:pBdr>
        <w:bottom w:val="single" w:sz="4" w:space="4" w:color="00B0AD" w:themeColor="accent1"/>
      </w:pBdr>
      <w:spacing w:before="200" w:after="280" w:line="240" w:lineRule="auto"/>
      <w:ind w:left="936" w:right="936"/>
    </w:pPr>
    <w:rPr>
      <w:b/>
      <w:bCs/>
      <w:i/>
      <w:iCs/>
    </w:rPr>
  </w:style>
  <w:style w:type="character" w:customStyle="1" w:styleId="IntenseQuoteChar">
    <w:name w:val="Intense Quote Char"/>
    <w:basedOn w:val="DefaultParagraphFont"/>
    <w:link w:val="IntenseQuote"/>
    <w:uiPriority w:val="30"/>
    <w:rsid w:val="00327AD7"/>
    <w:rPr>
      <w:rFonts w:ascii="Arial" w:hAnsi="Arial"/>
      <w:b/>
      <w:bCs/>
      <w:i/>
      <w:iCs/>
      <w:sz w:val="20"/>
    </w:rPr>
  </w:style>
  <w:style w:type="character" w:styleId="SubtleReference">
    <w:name w:val="Subtle Reference"/>
    <w:basedOn w:val="DefaultParagraphFont"/>
    <w:uiPriority w:val="31"/>
    <w:qFormat/>
    <w:rsid w:val="006F0680"/>
    <w:rPr>
      <w:smallCaps/>
      <w:color w:val="000000" w:themeColor="text1"/>
      <w:u w:val="single"/>
    </w:rPr>
  </w:style>
  <w:style w:type="character" w:styleId="IntenseReference">
    <w:name w:val="Intense Reference"/>
    <w:basedOn w:val="DefaultParagraphFont"/>
    <w:uiPriority w:val="32"/>
    <w:qFormat/>
    <w:rsid w:val="006F0680"/>
    <w:rPr>
      <w:b/>
      <w:bCs/>
      <w:smallCaps/>
      <w:color w:val="000000" w:themeColor="text1"/>
      <w:spacing w:val="5"/>
      <w:u w:val="single"/>
    </w:rPr>
  </w:style>
  <w:style w:type="paragraph" w:styleId="Header">
    <w:name w:val="header"/>
    <w:basedOn w:val="Normal"/>
    <w:link w:val="HeaderChar"/>
    <w:uiPriority w:val="99"/>
    <w:unhideWhenUsed/>
    <w:rsid w:val="00FD7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B61"/>
    <w:rPr>
      <w:rFonts w:ascii="Arial" w:hAnsi="Arial"/>
      <w:color w:val="000000" w:themeColor="text1"/>
      <w:sz w:val="20"/>
    </w:rPr>
  </w:style>
  <w:style w:type="paragraph" w:styleId="Footer">
    <w:name w:val="footer"/>
    <w:basedOn w:val="Normal"/>
    <w:link w:val="FooterChar"/>
    <w:uiPriority w:val="99"/>
    <w:unhideWhenUsed/>
    <w:rsid w:val="00FD7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B61"/>
    <w:rPr>
      <w:rFonts w:ascii="Arial" w:hAnsi="Arial"/>
      <w:color w:val="000000" w:themeColor="text1"/>
      <w:sz w:val="20"/>
    </w:rPr>
  </w:style>
  <w:style w:type="paragraph" w:styleId="BodyText2">
    <w:name w:val="Body Text 2"/>
    <w:basedOn w:val="Normal"/>
    <w:link w:val="BodyText2Char"/>
    <w:rsid w:val="00FD7B61"/>
    <w:pPr>
      <w:spacing w:after="0" w:line="240" w:lineRule="auto"/>
    </w:pPr>
    <w:rPr>
      <w:rFonts w:ascii="Times New Roman" w:eastAsia="Times New Roman" w:hAnsi="Times New Roman" w:cs="Times New Roman"/>
      <w:b/>
      <w:bCs/>
      <w:color w:val="auto"/>
      <w:sz w:val="19"/>
      <w:szCs w:val="19"/>
    </w:rPr>
  </w:style>
  <w:style w:type="character" w:customStyle="1" w:styleId="BodyText2Char">
    <w:name w:val="Body Text 2 Char"/>
    <w:basedOn w:val="DefaultParagraphFont"/>
    <w:link w:val="BodyText2"/>
    <w:rsid w:val="00FD7B61"/>
    <w:rPr>
      <w:rFonts w:ascii="Times New Roman" w:eastAsia="Times New Roman" w:hAnsi="Times New Roman" w:cs="Times New Roman"/>
      <w:b/>
      <w:bCs/>
      <w:sz w:val="19"/>
      <w:szCs w:val="19"/>
    </w:rPr>
  </w:style>
  <w:style w:type="character" w:styleId="Hyperlink">
    <w:name w:val="Hyperlink"/>
    <w:rsid w:val="00FD7B61"/>
    <w:rPr>
      <w:color w:val="0000FF"/>
      <w:u w:val="single"/>
    </w:rPr>
  </w:style>
  <w:style w:type="paragraph" w:styleId="ListParagraph">
    <w:name w:val="List Paragraph"/>
    <w:basedOn w:val="Normal"/>
    <w:uiPriority w:val="34"/>
    <w:qFormat/>
    <w:rsid w:val="00FD7B61"/>
    <w:pPr>
      <w:numPr>
        <w:numId w:val="1"/>
      </w:numPr>
      <w:spacing w:after="0" w:line="240" w:lineRule="auto"/>
      <w:contextualSpacing/>
    </w:pPr>
    <w:rPr>
      <w:rFonts w:eastAsia="Times New Roman" w:cs="Arial"/>
      <w:color w:val="auto"/>
      <w:szCs w:val="20"/>
    </w:rPr>
  </w:style>
  <w:style w:type="paragraph" w:customStyle="1" w:styleId="DTCCBodycopy">
    <w:name w:val="DTCC Body copy"/>
    <w:basedOn w:val="BodyText"/>
    <w:link w:val="DTCCBodycopyChar"/>
    <w:qFormat/>
    <w:rsid w:val="00FD7B61"/>
    <w:pPr>
      <w:jc w:val="both"/>
    </w:pPr>
    <w:rPr>
      <w:rFonts w:eastAsia="Times New Roman" w:cs="Arial"/>
      <w:szCs w:val="20"/>
    </w:rPr>
  </w:style>
  <w:style w:type="character" w:customStyle="1" w:styleId="DTCCBodycopyChar">
    <w:name w:val="DTCC Body copy Char"/>
    <w:basedOn w:val="BodyTextChar"/>
    <w:link w:val="DTCCBodycopy"/>
    <w:rsid w:val="00FD7B61"/>
    <w:rPr>
      <w:rFonts w:ascii="Arial" w:eastAsia="Times New Roman" w:hAnsi="Arial" w:cs="Arial"/>
      <w:color w:val="000000" w:themeColor="text1"/>
      <w:sz w:val="20"/>
      <w:szCs w:val="20"/>
    </w:rPr>
  </w:style>
  <w:style w:type="paragraph" w:styleId="BodyText">
    <w:name w:val="Body Text"/>
    <w:basedOn w:val="Normal"/>
    <w:link w:val="BodyTextChar"/>
    <w:uiPriority w:val="99"/>
    <w:unhideWhenUsed/>
    <w:rsid w:val="000F2566"/>
    <w:pPr>
      <w:spacing w:after="240" w:line="240" w:lineRule="auto"/>
    </w:pPr>
  </w:style>
  <w:style w:type="character" w:customStyle="1" w:styleId="BodyTextChar">
    <w:name w:val="Body Text Char"/>
    <w:basedOn w:val="DefaultParagraphFont"/>
    <w:link w:val="BodyText"/>
    <w:uiPriority w:val="99"/>
    <w:rsid w:val="000F2566"/>
    <w:rPr>
      <w:rFonts w:ascii="Arial" w:hAnsi="Arial"/>
      <w:color w:val="000000" w:themeColor="text1"/>
      <w:sz w:val="20"/>
    </w:rPr>
  </w:style>
  <w:style w:type="paragraph" w:customStyle="1" w:styleId="Default">
    <w:name w:val="Default"/>
    <w:rsid w:val="00E9007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olpe\Downloads\DTCC_Branded_Templates-One_page_Word_Document_2020v5.dotx" TargetMode="External"/></Relationships>
</file>

<file path=word/theme/theme1.xml><?xml version="1.0" encoding="utf-8"?>
<a:theme xmlns:a="http://schemas.openxmlformats.org/drawingml/2006/main" name="Office Theme">
  <a:themeElements>
    <a:clrScheme name="DTCC 2020 Colors">
      <a:dk1>
        <a:srgbClr val="000000"/>
      </a:dk1>
      <a:lt1>
        <a:srgbClr val="FFFFFF"/>
      </a:lt1>
      <a:dk2>
        <a:srgbClr val="003956"/>
      </a:dk2>
      <a:lt2>
        <a:srgbClr val="0096D6"/>
      </a:lt2>
      <a:accent1>
        <a:srgbClr val="00B0AD"/>
      </a:accent1>
      <a:accent2>
        <a:srgbClr val="E85F43"/>
      </a:accent2>
      <a:accent3>
        <a:srgbClr val="7AC143"/>
      </a:accent3>
      <a:accent4>
        <a:srgbClr val="F78E1E"/>
      </a:accent4>
      <a:accent5>
        <a:srgbClr val="A0285A"/>
      </a:accent5>
      <a:accent6>
        <a:srgbClr val="4F1956"/>
      </a:accent6>
      <a:hlink>
        <a:srgbClr val="0000FF"/>
      </a:hlink>
      <a:folHlink>
        <a:srgbClr val="800080"/>
      </a:folHlink>
    </a:clrScheme>
    <a:fontScheme name="DTCC">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25D41063879448B34CBEF85B9A8AA" ma:contentTypeVersion="4" ma:contentTypeDescription="Create a new document." ma:contentTypeScope="" ma:versionID="f192e1348122d51abe2fbdad83946f1d">
  <xsd:schema xmlns:xsd="http://www.w3.org/2001/XMLSchema" xmlns:xs="http://www.w3.org/2001/XMLSchema" xmlns:p="http://schemas.microsoft.com/office/2006/metadata/properties" xmlns:ns1="http://schemas.microsoft.com/sharepoint/v3" xmlns:ns2="23758e22-5ebd-435f-b635-b0f1a04fed04" targetNamespace="http://schemas.microsoft.com/office/2006/metadata/properties" ma:root="true" ma:fieldsID="f3418e64e14d2571aafb4596dae87021" ns1:_="" ns2:_="">
    <xsd:import namespace="http://schemas.microsoft.com/sharepoint/v3"/>
    <xsd:import namespace="23758e22-5ebd-435f-b635-b0f1a04fed0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758e22-5ebd-435f-b635-b0f1a04fe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EE7AE-658F-498E-8F52-A19FF57C0A5B}">
  <ds:schemaRefs>
    <ds:schemaRef ds:uri="http://schemas.microsoft.com/sharepoint/v3/contenttype/forms"/>
  </ds:schemaRefs>
</ds:datastoreItem>
</file>

<file path=customXml/itemProps2.xml><?xml version="1.0" encoding="utf-8"?>
<ds:datastoreItem xmlns:ds="http://schemas.openxmlformats.org/officeDocument/2006/customXml" ds:itemID="{3DCED0E8-8F1F-4228-812B-852AD193BC6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7A07C14-852B-4974-90AE-1E42DF718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758e22-5ebd-435f-b635-b0f1a04fe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DTCC_Branded_Templates-One_page_Word_Document_2020v5</Template>
  <TotalTime>1</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Volpe, Jon W.</dc:creator>
  <cp:keywords/>
  <dc:description/>
  <cp:lastModifiedBy>Goff, Emily</cp:lastModifiedBy>
  <cp:revision>2</cp:revision>
  <dcterms:created xsi:type="dcterms:W3CDTF">2023-06-30T13:37:00Z</dcterms:created>
  <dcterms:modified xsi:type="dcterms:W3CDTF">2023-06-30T13:37:00Z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77315c-b517-4740-877c-0c6cb060fe38_ActionId">
    <vt:lpwstr>eb7d780c-0690-4ecf-b929-2c01daf2bf6d</vt:lpwstr>
  </property>
  <property fmtid="{D5CDD505-2E9C-101B-9397-08002B2CF9AE}" pid="3" name="MSIP_Label_ab77315c-b517-4740-877c-0c6cb060fe38_Owner">
    <vt:lpwstr>VEspeleta@dtcc.com</vt:lpwstr>
  </property>
  <property fmtid="{D5CDD505-2E9C-101B-9397-08002B2CF9AE}" pid="4" name="MSIP_Label_ab77315c-b517-4740-877c-0c6cb060fe38_Extended_MSFT_Method">
    <vt:lpwstr>Manual</vt:lpwstr>
  </property>
  <property fmtid="{D5CDD505-2E9C-101B-9397-08002B2CF9AE}" pid="5" name="MSIP_Label_3b89453d-90c7-48fb-b952-076e9f1ff45a_SetDate">
    <vt:lpwstr>2022-01-27T16:49:52Z</vt:lpwstr>
  </property>
  <property fmtid="{D5CDD505-2E9C-101B-9397-08002B2CF9AE}" pid="6" name="MSIP_Label_ab77315c-b517-4740-877c-0c6cb060fe38_Enabled">
    <vt:lpwstr>True</vt:lpwstr>
  </property>
  <property fmtid="{D5CDD505-2E9C-101B-9397-08002B2CF9AE}" pid="7" name="MSIP_Label_ab77315c-b517-4740-877c-0c6cb060fe38_SiteId">
    <vt:lpwstr>0465519d-7f55-4d47-998b-55e2a86f04a8</vt:lpwstr>
  </property>
  <property fmtid="{D5CDD505-2E9C-101B-9397-08002B2CF9AE}" pid="8" name="MSIP_Label_3b89453d-90c7-48fb-b952-076e9f1ff45a_SiteId">
    <vt:lpwstr>0465519d-7f55-4d47-998b-55e2a86f04a8</vt:lpwstr>
  </property>
  <property fmtid="{D5CDD505-2E9C-101B-9397-08002B2CF9AE}" pid="9" name="MSIP_Label_ab77315c-b517-4740-877c-0c6cb060fe38_Application">
    <vt:lpwstr>Microsoft Azure Information Protection</vt:lpwstr>
  </property>
  <property fmtid="{D5CDD505-2E9C-101B-9397-08002B2CF9AE}" pid="10" name="MSIP_Label_3b89453d-90c7-48fb-b952-076e9f1ff45a_Method">
    <vt:lpwstr>Privileged</vt:lpwstr>
  </property>
  <property fmtid="{D5CDD505-2E9C-101B-9397-08002B2CF9AE}" pid="11" name="ContentTypeId">
    <vt:lpwstr>0x01010018725D41063879448B34CBEF85B9A8AA</vt:lpwstr>
  </property>
  <property fmtid="{D5CDD505-2E9C-101B-9397-08002B2CF9AE}" pid="12" name="MSIP_Label_ab77315c-b517-4740-877c-0c6cb060fe38_Name">
    <vt:lpwstr>DTCC Internal (Green)</vt:lpwstr>
  </property>
  <property fmtid="{D5CDD505-2E9C-101B-9397-08002B2CF9AE}" pid="13" name="MSIP_Label_3b89453d-90c7-48fb-b952-076e9f1ff45a_Enabled">
    <vt:lpwstr>true</vt:lpwstr>
  </property>
  <property fmtid="{D5CDD505-2E9C-101B-9397-08002B2CF9AE}" pid="14" name="MSIP_Label_3b89453d-90c7-48fb-b952-076e9f1ff45a_ActionId">
    <vt:lpwstr>eb7d780c-0690-4ecf-b929-2c01daf2bf6d</vt:lpwstr>
  </property>
  <property fmtid="{D5CDD505-2E9C-101B-9397-08002B2CF9AE}" pid="15" name="MSIP_Label_ab77315c-b517-4740-877c-0c6cb060fe38_SetDate">
    <vt:lpwstr>2020-11-09T06:05:43.7965658Z</vt:lpwstr>
  </property>
  <property fmtid="{D5CDD505-2E9C-101B-9397-08002B2CF9AE}" pid="16" name="MSIP_Label_3b89453d-90c7-48fb-b952-076e9f1ff45a_ContentBits">
    <vt:lpwstr>0</vt:lpwstr>
  </property>
  <property fmtid="{D5CDD505-2E9C-101B-9397-08002B2CF9AE}" pid="17" name="MSIP_Label_3b89453d-90c7-48fb-b952-076e9f1ff45a_Name">
    <vt:lpwstr>3b89453d-90c7-48fb-b952-076e9f1ff45a</vt:lpwstr>
  </property>
  <property fmtid="{D5CDD505-2E9C-101B-9397-08002B2CF9AE}" pid="18" name="MSIP_Label_024770cc-86a8-4dbd-aec7-670b38aa4b4d_Enabled">
    <vt:lpwstr>true</vt:lpwstr>
  </property>
  <property fmtid="{D5CDD505-2E9C-101B-9397-08002B2CF9AE}" pid="19" name="MSIP_Label_024770cc-86a8-4dbd-aec7-670b38aa4b4d_SetDate">
    <vt:lpwstr>2023-06-30T13:37:11Z</vt:lpwstr>
  </property>
  <property fmtid="{D5CDD505-2E9C-101B-9397-08002B2CF9AE}" pid="20" name="MSIP_Label_024770cc-86a8-4dbd-aec7-670b38aa4b4d_Method">
    <vt:lpwstr>Privileged</vt:lpwstr>
  </property>
  <property fmtid="{D5CDD505-2E9C-101B-9397-08002B2CF9AE}" pid="21" name="MSIP_Label_024770cc-86a8-4dbd-aec7-670b38aa4b4d_Name">
    <vt:lpwstr>024770cc-86a8-4dbd-aec7-670b38aa4b4d</vt:lpwstr>
  </property>
  <property fmtid="{D5CDD505-2E9C-101B-9397-08002B2CF9AE}" pid="22" name="MSIP_Label_024770cc-86a8-4dbd-aec7-670b38aa4b4d_SiteId">
    <vt:lpwstr>0465519d-7f55-4d47-998b-55e2a86f04a8</vt:lpwstr>
  </property>
  <property fmtid="{D5CDD505-2E9C-101B-9397-08002B2CF9AE}" pid="23" name="MSIP_Label_024770cc-86a8-4dbd-aec7-670b38aa4b4d_ActionId">
    <vt:lpwstr>e1ee623a-e9b0-4de1-8a10-f25f0269a9cf</vt:lpwstr>
  </property>
  <property fmtid="{D5CDD505-2E9C-101B-9397-08002B2CF9AE}" pid="24" name="MSIP_Label_024770cc-86a8-4dbd-aec7-670b38aa4b4d_ContentBits">
    <vt:lpwstr>2</vt:lpwstr>
  </property>
</Properties>
</file>